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D3" w:rsidRPr="000931D3" w:rsidRDefault="000931D3" w:rsidP="000931D3">
      <w:pPr>
        <w:spacing w:before="75" w:after="0" w:line="320" w:lineRule="atLeast"/>
        <w:ind w:right="75"/>
        <w:outlineLvl w:val="1"/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</w:pPr>
      <w:r w:rsidRPr="000931D3"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  <w:t xml:space="preserve">Síndrome de Fricción de la </w:t>
      </w:r>
      <w:proofErr w:type="spellStart"/>
      <w:r w:rsidRPr="000931D3"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  <w:t>Iliotibial</w:t>
      </w:r>
      <w:proofErr w:type="spellEnd"/>
      <w:r>
        <w:rPr>
          <w:rFonts w:ascii="Arial" w:eastAsia="Times New Roman" w:hAnsi="Arial" w:cs="Arial"/>
          <w:color w:val="007799"/>
          <w:kern w:val="36"/>
          <w:sz w:val="28"/>
          <w:szCs w:val="28"/>
          <w:lang w:eastAsia="es-ES"/>
        </w:rPr>
        <w:br/>
      </w:r>
      <w:r w:rsidRPr="000931D3">
        <w:rPr>
          <w:rFonts w:ascii="Arial" w:eastAsia="Times New Roman" w:hAnsi="Arial" w:cs="Arial"/>
          <w:b/>
          <w:bCs/>
          <w:color w:val="006688"/>
          <w:sz w:val="16"/>
          <w:szCs w:val="16"/>
          <w:lang w:eastAsia="es-ES"/>
        </w:rPr>
        <w:t xml:space="preserve">(síndrome de la </w:t>
      </w:r>
      <w:proofErr w:type="spellStart"/>
      <w:r w:rsidRPr="000931D3">
        <w:rPr>
          <w:rFonts w:ascii="Arial" w:eastAsia="Times New Roman" w:hAnsi="Arial" w:cs="Arial"/>
          <w:b/>
          <w:bCs/>
          <w:color w:val="006688"/>
          <w:sz w:val="16"/>
          <w:szCs w:val="16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b/>
          <w:bCs/>
          <w:color w:val="006688"/>
          <w:sz w:val="16"/>
          <w:szCs w:val="16"/>
          <w:lang w:eastAsia="es-ES"/>
        </w:rPr>
        <w:t xml:space="preserve"> IT; SBIT)</w:t>
      </w:r>
      <w:r>
        <w:rPr>
          <w:rFonts w:ascii="Arial" w:eastAsia="Times New Roman" w:hAnsi="Arial" w:cs="Arial"/>
          <w:b/>
          <w:bCs/>
          <w:color w:val="006688"/>
          <w:sz w:val="16"/>
          <w:szCs w:val="16"/>
          <w:lang w:eastAsia="es-ES"/>
        </w:rPr>
        <w:t xml:space="preserve"> </w:t>
      </w:r>
      <w:r w:rsidRPr="000931D3">
        <w:rPr>
          <w:rFonts w:ascii="Arial" w:eastAsia="Times New Roman" w:hAnsi="Arial" w:cs="Arial"/>
          <w:sz w:val="14"/>
          <w:szCs w:val="14"/>
          <w:lang w:eastAsia="es-ES"/>
        </w:rPr>
        <w:t xml:space="preserve">por </w:t>
      </w:r>
      <w:proofErr w:type="spellStart"/>
      <w:r w:rsidRPr="000931D3">
        <w:rPr>
          <w:rFonts w:ascii="Arial" w:eastAsia="Times New Roman" w:hAnsi="Arial" w:cs="Arial"/>
          <w:sz w:val="14"/>
          <w:szCs w:val="14"/>
          <w:lang w:eastAsia="es-ES"/>
        </w:rPr>
        <w:t>Carrie</w:t>
      </w:r>
      <w:proofErr w:type="spellEnd"/>
      <w:r w:rsidRPr="000931D3">
        <w:rPr>
          <w:rFonts w:ascii="Arial" w:eastAsia="Times New Roman" w:hAnsi="Arial" w:cs="Arial"/>
          <w:sz w:val="14"/>
          <w:szCs w:val="14"/>
          <w:lang w:eastAsia="es-ES"/>
        </w:rPr>
        <w:t xml:space="preserve"> Myers Smith, BS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0" w:name="top"/>
      <w:bookmarkStart w:id="1" w:name="definition"/>
      <w:bookmarkStart w:id="2" w:name="Defiición"/>
      <w:bookmarkEnd w:id="0"/>
      <w:bookmarkEnd w:id="1"/>
      <w:bookmarkEnd w:id="2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Definición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El síndrome de fricción de la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(SBIT) es una lesión por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sobreexigencia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. Se produce en los tejidos blandos de la zona inferior del muslo, cerca de la parte externa de la rodilla. La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es una banda gruesa de tejido fibroso que va desde la cadera hasta la cara exterior del muslo y se inserta en la tibia. La tibia es el hueso largo de la parte inferior de la pierna.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5"/>
        <w:gridCol w:w="141"/>
      </w:tblGrid>
      <w:tr w:rsidR="000931D3" w:rsidRPr="000931D3" w:rsidTr="000931D3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31D3" w:rsidRPr="000931D3" w:rsidRDefault="000931D3" w:rsidP="000931D3">
            <w:pPr>
              <w:pBdr>
                <w:bottom w:val="single" w:sz="6" w:space="2" w:color="DDDDDD"/>
              </w:pBdr>
              <w:shd w:val="clear" w:color="auto" w:fill="EEEEEE"/>
              <w:spacing w:after="0" w:line="320" w:lineRule="atLeast"/>
              <w:jc w:val="center"/>
              <w:outlineLvl w:val="1"/>
              <w:rPr>
                <w:rFonts w:ascii="Times New Roman" w:eastAsia="Times New Roman" w:hAnsi="Times New Roman" w:cs="Times New Roman"/>
                <w:color w:val="007799"/>
                <w:kern w:val="36"/>
                <w:sz w:val="24"/>
                <w:szCs w:val="24"/>
                <w:lang w:eastAsia="es-ES"/>
              </w:rPr>
            </w:pPr>
            <w:r w:rsidRPr="000931D3">
              <w:rPr>
                <w:rFonts w:ascii="Times New Roman" w:eastAsia="Times New Roman" w:hAnsi="Times New Roman" w:cs="Times New Roman"/>
                <w:color w:val="007799"/>
                <w:kern w:val="36"/>
                <w:sz w:val="24"/>
                <w:szCs w:val="24"/>
                <w:lang w:eastAsia="es-ES"/>
              </w:rPr>
              <w:t>Tendones de la Rodilla Lateral</w:t>
            </w:r>
          </w:p>
          <w:p w:rsidR="000931D3" w:rsidRPr="000931D3" w:rsidRDefault="000931D3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3714750" cy="2419350"/>
                  <wp:effectExtent l="19050" t="0" r="0" b="0"/>
                  <wp:docPr id="1" name="Imagen 1" descr="Imagen informativa de Nucl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informativa de Nucl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1D3" w:rsidRPr="000931D3" w:rsidRDefault="000931D3" w:rsidP="000931D3">
            <w:pPr>
              <w:spacing w:after="15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</w:pPr>
            <w:r w:rsidRPr="000931D3"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  <w:t xml:space="preserve">© 2009 </w:t>
            </w:r>
            <w:proofErr w:type="spellStart"/>
            <w:r w:rsidRPr="000931D3"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  <w:t>Nucleus</w:t>
            </w:r>
            <w:proofErr w:type="spellEnd"/>
            <w:r w:rsidRPr="000931D3"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  <w:t xml:space="preserve"> </w:t>
            </w:r>
            <w:proofErr w:type="spellStart"/>
            <w:r w:rsidRPr="000931D3"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  <w:t>Medical</w:t>
            </w:r>
            <w:proofErr w:type="spellEnd"/>
            <w:r w:rsidRPr="000931D3">
              <w:rPr>
                <w:rFonts w:ascii="Times New Roman" w:eastAsia="Times New Roman" w:hAnsi="Times New Roman" w:cs="Times New Roman"/>
                <w:sz w:val="12"/>
                <w:szCs w:val="12"/>
                <w:lang w:eastAsia="es-ES"/>
              </w:rPr>
              <w:t xml:space="preserve"> Art, Inc.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931D3" w:rsidRPr="000931D3" w:rsidRDefault="000931D3" w:rsidP="00093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3" w:name="causes"/>
      <w:bookmarkStart w:id="4" w:name="Causausas"/>
      <w:bookmarkEnd w:id="3"/>
      <w:bookmarkEnd w:id="4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Causas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El SFBI es causado por una fricción repetitiva o el roce de la banda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contra el hueso de la parte externa de la rodilla. El exceso de este contacto puede irritar la banda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y/o el tejido base.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Las causas para la fricción excesiva incluyen: 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Anormalidades estructurales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Técnicas incorrectas de entrenamiento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Incremento brusco de la distancia que se corre a pie o en bicicleta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Entrenamiento excesivo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Equipamiento (por ejemplo, bicicleta) no se adecuado para el usuario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Uso de tenis inadecuados para un deporte o alguna actividad atlética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Uso de equipo dañado, ya sea ropa o calzado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Estiramiento inapropiado</w:t>
      </w:r>
    </w:p>
    <w:p w:rsidR="000931D3" w:rsidRPr="000931D3" w:rsidRDefault="000931D3" w:rsidP="000931D3">
      <w:pPr>
        <w:numPr>
          <w:ilvl w:val="0"/>
          <w:numId w:val="1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Desbalance muscular debido a la falta de estiramiento de los músculos opuestos (como los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cuadríceps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y los tendones)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5" w:name="risk"/>
      <w:bookmarkStart w:id="6" w:name="Factiesgo"/>
      <w:bookmarkEnd w:id="5"/>
      <w:bookmarkEnd w:id="6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Factores de riesgo    </w:t>
      </w:r>
      <w:hyperlink r:id="rId6" w:anchor="top" w:history="1">
        <w:r w:rsidRPr="000931D3">
          <w:rPr>
            <w:rFonts w:ascii="Arial" w:eastAsia="Times New Roman" w:hAnsi="Arial" w:cs="Arial"/>
            <w:color w:val="0077CC"/>
            <w:kern w:val="36"/>
            <w:sz w:val="10"/>
            <w:u w:val="single"/>
            <w:lang w:eastAsia="es-ES"/>
          </w:rPr>
          <w:t>TOP</w:t>
        </w:r>
      </w:hyperlink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Los factores de riesgo del SBIT son: 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Una banda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corta y apretada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Un femoral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epicóndilo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lateral muy prominente (estructura ósea en la parte externa de la rodilla)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Problemas relacionados con el pie o la cadera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Piernas torcidas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Rotación de la pierna hacia el interior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Piernas con diferente longitud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Algunos deportes con movimientos repetitivos, como el correr o el ciclismo</w:t>
      </w:r>
    </w:p>
    <w:p w:rsidR="000931D3" w:rsidRPr="000931D3" w:rsidRDefault="000931D3" w:rsidP="000931D3">
      <w:pPr>
        <w:numPr>
          <w:ilvl w:val="0"/>
          <w:numId w:val="2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Correr en caminos montañosos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7" w:name="symptoms"/>
      <w:bookmarkStart w:id="8" w:name="Sínttomas"/>
      <w:bookmarkEnd w:id="7"/>
      <w:bookmarkEnd w:id="8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lastRenderedPageBreak/>
        <w:t>Síntomas    </w:t>
      </w:r>
      <w:hyperlink r:id="rId7" w:anchor="top" w:history="1">
        <w:r w:rsidRPr="000931D3">
          <w:rPr>
            <w:rFonts w:ascii="Arial" w:eastAsia="Times New Roman" w:hAnsi="Arial" w:cs="Arial"/>
            <w:color w:val="0077CC"/>
            <w:kern w:val="36"/>
            <w:sz w:val="10"/>
            <w:u w:val="single"/>
            <w:lang w:eastAsia="es-ES"/>
          </w:rPr>
          <w:t>TOP</w:t>
        </w:r>
      </w:hyperlink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Los síntomas del SBIT incluyen: </w:t>
      </w:r>
    </w:p>
    <w:p w:rsidR="000931D3" w:rsidRPr="000931D3" w:rsidRDefault="000931D3" w:rsidP="000931D3">
      <w:pPr>
        <w:numPr>
          <w:ilvl w:val="0"/>
          <w:numId w:val="3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Dolor ligero o sensación de ardor en la parte externa de la rodilla durante una actividad</w:t>
      </w:r>
    </w:p>
    <w:p w:rsidR="000931D3" w:rsidRPr="000931D3" w:rsidRDefault="000931D3" w:rsidP="000931D3">
      <w:pPr>
        <w:numPr>
          <w:ilvl w:val="0"/>
          <w:numId w:val="3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Dolor punzante intenso en la parte externa de la rodilla durante la actividad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El dolor puede ser localizado. Por lo general, se produce cerca de la parte externa de la rodilla o en la cara externa del muslo. El dolor, por lo general, comienza como una molestia leve que puede empeorar con el tiempo. Pueden presentarse tronidos o chirridos cuando la rodilla se dobla y luego se contrae. Usualmente, no hay inflamación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9" w:name="diagnosis"/>
      <w:bookmarkStart w:id="10" w:name="Diagstico"/>
      <w:bookmarkEnd w:id="9"/>
      <w:bookmarkEnd w:id="10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Diagnóstico    </w:t>
      </w:r>
      <w:hyperlink r:id="rId8" w:anchor="top" w:history="1">
        <w:r w:rsidRPr="000931D3">
          <w:rPr>
            <w:rFonts w:ascii="Arial" w:eastAsia="Times New Roman" w:hAnsi="Arial" w:cs="Arial"/>
            <w:color w:val="0077CC"/>
            <w:kern w:val="36"/>
            <w:sz w:val="10"/>
            <w:u w:val="single"/>
            <w:lang w:eastAsia="es-ES"/>
          </w:rPr>
          <w:t>TOP</w:t>
        </w:r>
      </w:hyperlink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El médico le preguntará acerca de sus síntomas y antecedentes clínicos. Se le realizará un examen físico. El diagnóstico partirá de los siguientes factores: </w:t>
      </w:r>
    </w:p>
    <w:p w:rsidR="000931D3" w:rsidRPr="000931D3" w:rsidRDefault="000931D3" w:rsidP="000931D3">
      <w:pPr>
        <w:numPr>
          <w:ilvl w:val="0"/>
          <w:numId w:val="4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Dolor alrededor del femoral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epicóndilo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lateral</w:t>
      </w:r>
    </w:p>
    <w:p w:rsidR="000931D3" w:rsidRPr="000931D3" w:rsidRDefault="000931D3" w:rsidP="000931D3">
      <w:pPr>
        <w:numPr>
          <w:ilvl w:val="0"/>
          <w:numId w:val="4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Sensación de suavidad cuando se aplica presión en esta área</w:t>
      </w:r>
    </w:p>
    <w:p w:rsidR="000931D3" w:rsidRPr="000931D3" w:rsidRDefault="000931D3" w:rsidP="000931D3">
      <w:pPr>
        <w:numPr>
          <w:ilvl w:val="0"/>
          <w:numId w:val="4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Estar al pendiente de las superficies en las que se corre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Las pruebas pueden incluir:</w:t>
      </w:r>
    </w:p>
    <w:p w:rsidR="000931D3" w:rsidRPr="000931D3" w:rsidRDefault="000931D3" w:rsidP="000931D3">
      <w:pPr>
        <w:numPr>
          <w:ilvl w:val="0"/>
          <w:numId w:val="5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Prueba de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Ober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: determina la tensión de la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</w:p>
    <w:p w:rsidR="000931D3" w:rsidRPr="000931D3" w:rsidRDefault="000931D3" w:rsidP="000931D3">
      <w:pPr>
        <w:numPr>
          <w:ilvl w:val="0"/>
          <w:numId w:val="5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Prueba de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Renne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>: se coloca peso sobre la pierna para identificar el área de dolor</w:t>
      </w:r>
    </w:p>
    <w:p w:rsidR="000931D3" w:rsidRPr="000931D3" w:rsidRDefault="000931D3" w:rsidP="000931D3">
      <w:pPr>
        <w:numPr>
          <w:ilvl w:val="0"/>
          <w:numId w:val="5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Prueba de Noble: se dobla la pierna en un ángulo determinado para identificar el área de dolor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11" w:name="treatment"/>
      <w:bookmarkStart w:id="12" w:name="Tratiento"/>
      <w:bookmarkEnd w:id="11"/>
      <w:bookmarkEnd w:id="12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Tratamiento    </w:t>
      </w:r>
      <w:hyperlink r:id="rId9" w:anchor="top" w:history="1">
        <w:r w:rsidRPr="000931D3">
          <w:rPr>
            <w:rFonts w:ascii="Arial" w:eastAsia="Times New Roman" w:hAnsi="Arial" w:cs="Arial"/>
            <w:color w:val="0077CC"/>
            <w:kern w:val="36"/>
            <w:sz w:val="10"/>
            <w:u w:val="single"/>
            <w:lang w:eastAsia="es-ES"/>
          </w:rPr>
          <w:t>TOP</w:t>
        </w:r>
      </w:hyperlink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El tratamiento depende de las causas.</w:t>
      </w:r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El tratamiento puede incluir: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Descanso: evitar las actividades que causen dolor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Calor o hielo: aplicación de calor o hielo (por lo general, el hielo se aplica después de realizar una actividad, mientras que el calor se puede usar antes del ejercicio para aflojar los músculos y los tejidos blandos)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Ejercicio: puede incluir elongación para alargar la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y fortalecimiento de los cuádriceps y el tendón de la corva para corregir los desequilibrios musculares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Técnicas correctas: evaluar las superficies en las que se corre i se practica ciclismo, así como las técnicas de levantamiento de pesas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Aparatos ortopédicos: dispositivos ortopédicos personalizados para corregir problemas en los pies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Medicamentos: antiinflamatorios e inyecciones locales de cortisona</w:t>
      </w:r>
    </w:p>
    <w:p w:rsidR="000931D3" w:rsidRPr="000931D3" w:rsidRDefault="000931D3" w:rsidP="000931D3">
      <w:pPr>
        <w:numPr>
          <w:ilvl w:val="0"/>
          <w:numId w:val="6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Cirugía: sólo en casos extremos cuando otras opciones de tratamiento han fallado</w:t>
      </w:r>
    </w:p>
    <w:p w:rsidR="000931D3" w:rsidRPr="000931D3" w:rsidRDefault="000931D3" w:rsidP="000931D3">
      <w:pPr>
        <w:pBdr>
          <w:bottom w:val="single" w:sz="12" w:space="2" w:color="CCCCCC"/>
        </w:pBdr>
        <w:spacing w:after="120" w:line="320" w:lineRule="atLeast"/>
        <w:outlineLvl w:val="1"/>
        <w:rPr>
          <w:rFonts w:ascii="Arial" w:eastAsia="Times New Roman" w:hAnsi="Arial" w:cs="Arial"/>
          <w:color w:val="007799"/>
          <w:kern w:val="36"/>
          <w:lang w:eastAsia="es-ES"/>
        </w:rPr>
      </w:pPr>
      <w:bookmarkStart w:id="13" w:name="prevention"/>
      <w:bookmarkStart w:id="14" w:name="Prevnción"/>
      <w:bookmarkEnd w:id="13"/>
      <w:bookmarkEnd w:id="14"/>
      <w:r w:rsidRPr="000931D3">
        <w:rPr>
          <w:rFonts w:ascii="Arial" w:eastAsia="Times New Roman" w:hAnsi="Arial" w:cs="Arial"/>
          <w:color w:val="007799"/>
          <w:kern w:val="36"/>
          <w:lang w:eastAsia="es-ES"/>
        </w:rPr>
        <w:t>Prevención    </w:t>
      </w:r>
      <w:hyperlink r:id="rId10" w:anchor="top" w:history="1">
        <w:r w:rsidRPr="000931D3">
          <w:rPr>
            <w:rFonts w:ascii="Arial" w:eastAsia="Times New Roman" w:hAnsi="Arial" w:cs="Arial"/>
            <w:color w:val="0077CC"/>
            <w:kern w:val="36"/>
            <w:sz w:val="10"/>
            <w:u w:val="single"/>
            <w:lang w:eastAsia="es-ES"/>
          </w:rPr>
          <w:t>TOP</w:t>
        </w:r>
      </w:hyperlink>
    </w:p>
    <w:p w:rsidR="000931D3" w:rsidRPr="000931D3" w:rsidRDefault="000931D3" w:rsidP="000931D3">
      <w:pPr>
        <w:spacing w:before="75" w:after="150" w:line="348" w:lineRule="auto"/>
        <w:ind w:left="75" w:right="75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La mejor manera de evitar el SBIT es evitar las causas de la enfermedad. Esto puede incluir: 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Aprender técnicas adecuadas de entrenamiento.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Usar calzado apropiado para cada deporte.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Remplazar el calzado deportivo tan pronto como éste muestre señales de desgaste.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Prestar atención a las superficies sobre las que se corre.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Usar equipo que calce adecuadamente.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Incrementar las distancias y el peso de forma gradual. Si levanta pesas, realice pequeños incrementos de peso cada día.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Fortalecer los cuádriceps y los tendones de la corva.</w:t>
      </w:r>
    </w:p>
    <w:p w:rsidR="000931D3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Estirar la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bandeleta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proofErr w:type="spellStart"/>
      <w:r w:rsidRPr="000931D3">
        <w:rPr>
          <w:rFonts w:ascii="Arial" w:eastAsia="Times New Roman" w:hAnsi="Arial" w:cs="Arial"/>
          <w:sz w:val="20"/>
          <w:szCs w:val="20"/>
          <w:lang w:eastAsia="es-ES"/>
        </w:rPr>
        <w:t>iliotibial</w:t>
      </w:r>
      <w:proofErr w:type="spellEnd"/>
      <w:r w:rsidRPr="000931D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7E0D7E" w:rsidRPr="000931D3" w:rsidRDefault="000931D3" w:rsidP="000931D3">
      <w:pPr>
        <w:numPr>
          <w:ilvl w:val="0"/>
          <w:numId w:val="7"/>
        </w:numPr>
        <w:spacing w:before="30" w:after="100" w:afterAutospacing="1" w:line="240" w:lineRule="auto"/>
        <w:ind w:left="270"/>
        <w:rPr>
          <w:rFonts w:ascii="Arial" w:eastAsia="Times New Roman" w:hAnsi="Arial" w:cs="Arial"/>
          <w:sz w:val="20"/>
          <w:szCs w:val="20"/>
          <w:lang w:eastAsia="es-ES"/>
        </w:rPr>
      </w:pPr>
      <w:r w:rsidRPr="000931D3">
        <w:rPr>
          <w:rFonts w:ascii="Arial" w:eastAsia="Times New Roman" w:hAnsi="Arial" w:cs="Arial"/>
          <w:sz w:val="20"/>
          <w:szCs w:val="20"/>
          <w:lang w:eastAsia="es-ES"/>
        </w:rPr>
        <w:t>Consultar un especialista de los pies que realice una evaluación y recete aparatos ortopédicos, en caso de que sean necesarios.</w:t>
      </w:r>
    </w:p>
    <w:sectPr w:rsidR="007E0D7E" w:rsidRPr="000931D3" w:rsidSect="00093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/>
    </w:pict>
  </w:numPicBullet>
  <w:numPicBullet w:numPicBulletId="1">
    <w:pict>
      <v:shape id="_x0000_i1048" type="#_x0000_t75" style="width:3in;height:3in" o:bullet="t"/>
    </w:pict>
  </w:numPicBullet>
  <w:numPicBullet w:numPicBulletId="2">
    <w:pict>
      <v:shape id="_x0000_i1049" type="#_x0000_t75" style="width:3in;height:3in" o:bullet="t"/>
    </w:pict>
  </w:numPicBullet>
  <w:numPicBullet w:numPicBulletId="3">
    <w:pict>
      <v:shape id="_x0000_i1050" type="#_x0000_t75" style="width:3in;height:3in" o:bullet="t"/>
    </w:pict>
  </w:numPicBullet>
  <w:numPicBullet w:numPicBulletId="4">
    <w:pict>
      <v:shape id="_x0000_i1051" type="#_x0000_t75" style="width:3in;height:3in" o:bullet="t"/>
    </w:pict>
  </w:numPicBullet>
  <w:numPicBullet w:numPicBulletId="5">
    <w:pict>
      <v:shape id="_x0000_i1052" type="#_x0000_t75" style="width:3in;height:3in" o:bullet="t"/>
    </w:pict>
  </w:numPicBullet>
  <w:numPicBullet w:numPicBulletId="6">
    <w:pict>
      <v:shape id="_x0000_i1053" type="#_x0000_t75" style="width:3in;height:3in" o:bullet="t"/>
    </w:pict>
  </w:numPicBullet>
  <w:abstractNum w:abstractNumId="0">
    <w:nsid w:val="2FF8710D"/>
    <w:multiLevelType w:val="multilevel"/>
    <w:tmpl w:val="85A4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5579E"/>
    <w:multiLevelType w:val="multilevel"/>
    <w:tmpl w:val="098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E7730"/>
    <w:multiLevelType w:val="multilevel"/>
    <w:tmpl w:val="8AE8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333FD"/>
    <w:multiLevelType w:val="multilevel"/>
    <w:tmpl w:val="5AF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A345B"/>
    <w:multiLevelType w:val="multilevel"/>
    <w:tmpl w:val="7C56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B97018"/>
    <w:multiLevelType w:val="multilevel"/>
    <w:tmpl w:val="1E6A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6510B"/>
    <w:multiLevelType w:val="multilevel"/>
    <w:tmpl w:val="9C94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1D3"/>
    <w:rsid w:val="000931D3"/>
    <w:rsid w:val="007E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oplink1">
    <w:name w:val="toplink1"/>
    <w:basedOn w:val="Fuentedeprrafopredeter"/>
    <w:rsid w:val="000931D3"/>
    <w:rPr>
      <w:sz w:val="10"/>
      <w:szCs w:val="1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9193">
                  <w:marLeft w:val="0"/>
                  <w:marRight w:val="0"/>
                  <w:marTop w:val="6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0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8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5708">
                          <w:marLeft w:val="150"/>
                          <w:marRight w:val="150"/>
                          <w:marTop w:val="12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3629115">
                              <w:marLeft w:val="15"/>
                              <w:marRight w:val="75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2275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4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6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3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69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library.epnet.com/GetContent.aspx?token=32d718a0-166a-4083-8595-fcf396db9201&amp;chunkiid=103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library.epnet.com/GetContent.aspx?token=32d718a0-166a-4083-8595-fcf396db9201&amp;chunkiid=1036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library.epnet.com/GetContent.aspx?token=32d718a0-166a-4083-8595-fcf396db9201&amp;chunkiid=1036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healthlibrary.epnet.com/GetContent.aspx?token=32d718a0-166a-4083-8595-fcf396db9201&amp;chunkiid=1036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althlibrary.epnet.com/GetContent.aspx?token=32d718a0-166a-4083-8595-fcf396db9201&amp;chunkiid=1036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4424</Characters>
  <Application>Microsoft Office Word</Application>
  <DocSecurity>0</DocSecurity>
  <Lines>36</Lines>
  <Paragraphs>10</Paragraphs>
  <ScaleCrop>false</ScaleCrop>
  <Company>Cozumel Capital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2010-10-26T22:49:00Z</dcterms:created>
  <dcterms:modified xsi:type="dcterms:W3CDTF">2010-10-26T22:51:00Z</dcterms:modified>
</cp:coreProperties>
</file>